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7020"/>
        <w:gridCol w:w="2340"/>
      </w:tblGrid>
      <w:tr w:rsidR="00164933" w:rsidRPr="00164933">
        <w:trPr>
          <w:tblCellSpacing w:w="0" w:type="dxa"/>
        </w:trPr>
        <w:tc>
          <w:tcPr>
            <w:tcW w:w="5000" w:type="pct"/>
            <w:gridSpan w:val="2"/>
            <w:hideMark/>
          </w:tcPr>
          <w:p w:rsidR="00164933" w:rsidRPr="00164933" w:rsidRDefault="00164933" w:rsidP="00164933">
            <w:pPr>
              <w:spacing w:after="0" w:line="240" w:lineRule="auto"/>
              <w:outlineLvl w:val="0"/>
              <w:rPr>
                <w:rFonts w:ascii="Arial" w:eastAsia="Times New Roman" w:hAnsi="Arial" w:cs="Arial"/>
                <w:b/>
                <w:bCs/>
                <w:color w:val="000000"/>
                <w:kern w:val="36"/>
                <w:sz w:val="27"/>
                <w:szCs w:val="27"/>
              </w:rPr>
            </w:pPr>
            <w:r w:rsidRPr="00164933">
              <w:rPr>
                <w:rFonts w:ascii="Arial" w:eastAsia="Times New Roman" w:hAnsi="Arial" w:cs="Arial"/>
                <w:b/>
                <w:bCs/>
                <w:color w:val="000000"/>
                <w:kern w:val="36"/>
                <w:sz w:val="27"/>
                <w:szCs w:val="27"/>
              </w:rPr>
              <w:t>BP 4.12 - Involuntary Resettlement</w:t>
            </w:r>
          </w:p>
        </w:tc>
      </w:tr>
      <w:tr w:rsidR="00164933" w:rsidRPr="00164933">
        <w:trPr>
          <w:tblCellSpacing w:w="0" w:type="dxa"/>
        </w:trPr>
        <w:tc>
          <w:tcPr>
            <w:tcW w:w="3750" w:type="pct"/>
            <w:hideMark/>
          </w:tcPr>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br/>
            </w:r>
            <w:r w:rsidRPr="00164933">
              <w:rPr>
                <w:rFonts w:ascii="Arial" w:eastAsia="Times New Roman" w:hAnsi="Arial" w:cs="Arial"/>
                <w:b/>
                <w:bCs/>
                <w:color w:val="000000"/>
                <w:sz w:val="18"/>
              </w:rPr>
              <w:t>These policies were prepared for use by World Bank staff and are not necessarily a complete treatment of the subject.</w:t>
            </w:r>
          </w:p>
        </w:tc>
        <w:tc>
          <w:tcPr>
            <w:tcW w:w="1250" w:type="pct"/>
            <w:noWrap/>
            <w:vAlign w:val="bottom"/>
            <w:hideMark/>
          </w:tcPr>
          <w:p w:rsidR="00164933" w:rsidRPr="00164933" w:rsidRDefault="00164933" w:rsidP="00164933">
            <w:pPr>
              <w:spacing w:after="0" w:line="240" w:lineRule="auto"/>
              <w:jc w:val="right"/>
              <w:rPr>
                <w:rFonts w:ascii="Arial" w:eastAsia="Times New Roman" w:hAnsi="Arial" w:cs="Arial"/>
                <w:color w:val="000000"/>
                <w:sz w:val="18"/>
                <w:szCs w:val="18"/>
              </w:rPr>
            </w:pPr>
            <w:r w:rsidRPr="00164933">
              <w:rPr>
                <w:rFonts w:ascii="Arial" w:eastAsia="Times New Roman" w:hAnsi="Arial" w:cs="Arial"/>
                <w:b/>
                <w:bCs/>
                <w:color w:val="000000"/>
                <w:sz w:val="18"/>
              </w:rPr>
              <w:t>BP 4.12</w:t>
            </w:r>
            <w:r w:rsidRPr="00164933">
              <w:rPr>
                <w:rFonts w:ascii="Arial" w:eastAsia="Times New Roman" w:hAnsi="Arial" w:cs="Arial"/>
                <w:b/>
                <w:bCs/>
                <w:color w:val="000000"/>
                <w:sz w:val="18"/>
                <w:szCs w:val="18"/>
              </w:rPr>
              <w:br/>
            </w:r>
            <w:r w:rsidRPr="00164933">
              <w:rPr>
                <w:rFonts w:ascii="Arial" w:eastAsia="Times New Roman" w:hAnsi="Arial" w:cs="Arial"/>
                <w:b/>
                <w:bCs/>
                <w:color w:val="000000"/>
                <w:sz w:val="18"/>
              </w:rPr>
              <w:t>December, 2001</w:t>
            </w:r>
            <w:r w:rsidRPr="00164933">
              <w:rPr>
                <w:rFonts w:ascii="Arial" w:eastAsia="Times New Roman" w:hAnsi="Arial" w:cs="Arial"/>
                <w:color w:val="000000"/>
                <w:sz w:val="18"/>
                <w:szCs w:val="18"/>
              </w:rPr>
              <w:t xml:space="preserve"> </w:t>
            </w:r>
          </w:p>
        </w:tc>
      </w:tr>
      <w:tr w:rsidR="00164933" w:rsidRPr="00164933">
        <w:trPr>
          <w:tblCellSpacing w:w="0" w:type="dxa"/>
        </w:trPr>
        <w:tc>
          <w:tcPr>
            <w:tcW w:w="0" w:type="auto"/>
            <w:shd w:val="clear" w:color="auto" w:fill="000000"/>
            <w:hideMark/>
          </w:tcPr>
          <w:p w:rsidR="00164933" w:rsidRPr="00164933" w:rsidRDefault="00164933" w:rsidP="00164933">
            <w:pPr>
              <w:spacing w:after="0" w:line="240" w:lineRule="auto"/>
              <w:rPr>
                <w:rFonts w:ascii="Arial" w:eastAsia="Times New Roman" w:hAnsi="Arial" w:cs="Arial"/>
                <w:color w:val="000000"/>
                <w:sz w:val="18"/>
                <w:szCs w:val="18"/>
              </w:rPr>
            </w:pPr>
            <w:r>
              <w:rPr>
                <w:rFonts w:ascii="Arial" w:eastAsia="Times New Roman" w:hAnsi="Arial" w:cs="Arial"/>
                <w:noProof/>
                <w:color w:val="000000"/>
                <w:sz w:val="18"/>
                <w:szCs w:val="18"/>
              </w:rPr>
              <w:drawing>
                <wp:inline distT="0" distB="0" distL="0" distR="0">
                  <wp:extent cx="9525" cy="9525"/>
                  <wp:effectExtent l="0" t="0" r="0" b="0"/>
                  <wp:docPr id="1" name="Picture 1" descr="http://web.worldbank.org/shared/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eb.worldbank.org/shared/images/shim.gif"/>
                          <pic:cNvPicPr>
                            <a:picLocks noChangeAspect="1" noChangeArrowheads="1"/>
                          </pic:cNvPicPr>
                        </pic:nvPicPr>
                        <pic:blipFill>
                          <a:blip r:embed="rId7"/>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shd w:val="clear" w:color="auto" w:fill="000000"/>
            <w:hideMark/>
          </w:tcPr>
          <w:p w:rsidR="00164933" w:rsidRPr="00164933" w:rsidRDefault="00164933" w:rsidP="00164933">
            <w:pPr>
              <w:spacing w:after="0" w:line="240" w:lineRule="auto"/>
              <w:rPr>
                <w:rFonts w:ascii="Arial" w:eastAsia="Times New Roman" w:hAnsi="Arial" w:cs="Arial"/>
                <w:color w:val="000000"/>
                <w:sz w:val="18"/>
                <w:szCs w:val="18"/>
              </w:rPr>
            </w:pPr>
            <w:r>
              <w:rPr>
                <w:rFonts w:ascii="Arial" w:eastAsia="Times New Roman" w:hAnsi="Arial" w:cs="Arial"/>
                <w:noProof/>
                <w:color w:val="000000"/>
                <w:sz w:val="18"/>
                <w:szCs w:val="18"/>
              </w:rPr>
              <w:drawing>
                <wp:inline distT="0" distB="0" distL="0" distR="0">
                  <wp:extent cx="9525" cy="9525"/>
                  <wp:effectExtent l="0" t="0" r="0" b="0"/>
                  <wp:docPr id="2" name="Picture 2" descr="http://web.worldbank.org/shared/images/sh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eb.worldbank.org/shared/images/shim.gif"/>
                          <pic:cNvPicPr>
                            <a:picLocks noChangeAspect="1" noChangeArrowheads="1"/>
                          </pic:cNvPicPr>
                        </pic:nvPicPr>
                        <pic:blipFill>
                          <a:blip r:embed="rId7"/>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164933" w:rsidRPr="00164933">
        <w:trPr>
          <w:tblCellSpacing w:w="0" w:type="dxa"/>
        </w:trPr>
        <w:tc>
          <w:tcPr>
            <w:tcW w:w="0" w:type="auto"/>
            <w:gridSpan w:val="2"/>
            <w:hideMark/>
          </w:tcPr>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xml:space="preserve">  </w:t>
            </w:r>
          </w:p>
        </w:tc>
      </w:tr>
      <w:tr w:rsidR="00164933" w:rsidRPr="00164933">
        <w:trPr>
          <w:tblCellSpacing w:w="0" w:type="dxa"/>
        </w:trPr>
        <w:tc>
          <w:tcPr>
            <w:tcW w:w="0" w:type="auto"/>
            <w:gridSpan w:val="2"/>
            <w:hideMark/>
          </w:tcPr>
          <w:tbl>
            <w:tblPr>
              <w:tblW w:w="5000" w:type="pct"/>
              <w:jc w:val="center"/>
              <w:tblCellSpacing w:w="0" w:type="dxa"/>
              <w:tblBorders>
                <w:top w:val="outset" w:sz="12" w:space="0" w:color="auto"/>
                <w:left w:val="outset" w:sz="12" w:space="0" w:color="auto"/>
                <w:bottom w:val="outset" w:sz="12" w:space="0" w:color="auto"/>
                <w:right w:val="outset" w:sz="12" w:space="0" w:color="auto"/>
              </w:tblBorders>
              <w:tblCellMar>
                <w:top w:w="30" w:type="dxa"/>
                <w:left w:w="30" w:type="dxa"/>
                <w:bottom w:w="30" w:type="dxa"/>
                <w:right w:w="30" w:type="dxa"/>
              </w:tblCellMar>
              <w:tblLook w:val="04A0"/>
            </w:tblPr>
            <w:tblGrid>
              <w:gridCol w:w="9344"/>
            </w:tblGrid>
            <w:tr w:rsidR="00164933" w:rsidRPr="00164933">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164933" w:rsidRPr="00164933" w:rsidRDefault="00164933" w:rsidP="00164933">
                  <w:p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b/>
                      <w:bCs/>
                      <w:color w:val="000000"/>
                      <w:sz w:val="15"/>
                    </w:rPr>
                    <w:t>Note:  </w:t>
                  </w:r>
                  <w:r w:rsidRPr="00164933">
                    <w:rPr>
                      <w:rFonts w:ascii="Arial" w:eastAsia="Times New Roman" w:hAnsi="Arial" w:cs="Arial"/>
                      <w:color w:val="000000"/>
                      <w:sz w:val="15"/>
                      <w:szCs w:val="15"/>
                    </w:rPr>
                    <w:t> </w:t>
                  </w:r>
                  <w:hyperlink r:id="rId8" w:history="1">
                    <w:r w:rsidRPr="00164933">
                      <w:rPr>
                        <w:rFonts w:ascii="Arial" w:eastAsia="Times New Roman" w:hAnsi="Arial" w:cs="Arial"/>
                        <w:b/>
                        <w:bCs/>
                        <w:color w:val="204E84"/>
                        <w:sz w:val="15"/>
                        <w:u w:val="single"/>
                      </w:rPr>
                      <w:t>OP</w:t>
                    </w:r>
                  </w:hyperlink>
                  <w:r w:rsidRPr="00164933">
                    <w:rPr>
                      <w:rFonts w:ascii="Arial" w:eastAsia="Times New Roman" w:hAnsi="Arial" w:cs="Arial"/>
                      <w:b/>
                      <w:bCs/>
                      <w:color w:val="000000"/>
                      <w:sz w:val="15"/>
                    </w:rPr>
                    <w:t xml:space="preserve"> and BP 4.12 together replace OD 4.30, </w:t>
                  </w:r>
                  <w:r w:rsidRPr="00164933">
                    <w:rPr>
                      <w:rFonts w:ascii="Arial" w:eastAsia="Times New Roman" w:hAnsi="Arial" w:cs="Arial"/>
                      <w:b/>
                      <w:bCs/>
                      <w:i/>
                      <w:iCs/>
                      <w:color w:val="000000"/>
                      <w:sz w:val="15"/>
                    </w:rPr>
                    <w:t>Involuntary Resettlement</w:t>
                  </w:r>
                  <w:r w:rsidRPr="00164933">
                    <w:rPr>
                      <w:rFonts w:ascii="Arial" w:eastAsia="Times New Roman" w:hAnsi="Arial" w:cs="Arial"/>
                      <w:b/>
                      <w:bCs/>
                      <w:color w:val="000000"/>
                      <w:sz w:val="15"/>
                    </w:rPr>
                    <w:t>.  These OP and BP apply to all projects for which a Project Concept Review takes place on or after January 1, 2002.  Questions may be addressed to the Director, Social Development Department (SDV).</w:t>
                  </w:r>
                </w:p>
              </w:tc>
            </w:tr>
          </w:tbl>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w:t>
            </w:r>
          </w:p>
          <w:p w:rsidR="00164933" w:rsidRPr="00164933" w:rsidRDefault="00164933" w:rsidP="00164933">
            <w:p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1.  The planning of resettlement activities is an integral part of preparation for Bank-assisted</w:t>
            </w:r>
            <w:r w:rsidRPr="00164933">
              <w:rPr>
                <w:rFonts w:ascii="Arial" w:eastAsia="Times New Roman" w:hAnsi="Arial" w:cs="Arial"/>
                <w:color w:val="204E84"/>
                <w:sz w:val="18"/>
                <w:szCs w:val="18"/>
                <w:vertAlign w:val="superscript"/>
              </w:rPr>
              <w:footnoteReference w:customMarkFollows="1" w:id="1"/>
              <w:t>1</w:t>
            </w:r>
            <w:r w:rsidRPr="00164933">
              <w:rPr>
                <w:rFonts w:ascii="Arial" w:eastAsia="Times New Roman" w:hAnsi="Arial" w:cs="Arial"/>
                <w:color w:val="000000"/>
                <w:sz w:val="18"/>
                <w:szCs w:val="18"/>
              </w:rPr>
              <w:t> projects that cause involuntary resettlement.  During project identification, the task team (TT) identifies any potential involuntary resettlement</w:t>
            </w:r>
            <w:r w:rsidRPr="00164933">
              <w:rPr>
                <w:rFonts w:ascii="Arial" w:eastAsia="Times New Roman" w:hAnsi="Arial" w:cs="Arial"/>
                <w:color w:val="204E84"/>
                <w:sz w:val="18"/>
                <w:szCs w:val="18"/>
                <w:vertAlign w:val="superscript"/>
              </w:rPr>
              <w:footnoteReference w:customMarkFollows="1" w:id="2"/>
              <w:t>2</w:t>
            </w:r>
            <w:r w:rsidRPr="00164933">
              <w:rPr>
                <w:rFonts w:ascii="Arial" w:eastAsia="Times New Roman" w:hAnsi="Arial" w:cs="Arial"/>
                <w:color w:val="000000"/>
                <w:sz w:val="18"/>
                <w:szCs w:val="18"/>
              </w:rPr>
              <w:t> under the project.  Throughout project processing, the TT consults the regional social development unit,</w:t>
            </w:r>
            <w:r w:rsidRPr="00164933">
              <w:rPr>
                <w:rFonts w:ascii="Arial" w:eastAsia="Times New Roman" w:hAnsi="Arial" w:cs="Arial"/>
                <w:color w:val="204E84"/>
                <w:sz w:val="18"/>
                <w:szCs w:val="18"/>
                <w:vertAlign w:val="superscript"/>
              </w:rPr>
              <w:footnoteReference w:customMarkFollows="1" w:id="3"/>
              <w:t>3</w:t>
            </w:r>
            <w:r w:rsidRPr="00164933">
              <w:rPr>
                <w:rFonts w:ascii="Arial" w:eastAsia="Times New Roman" w:hAnsi="Arial" w:cs="Arial"/>
                <w:color w:val="000000"/>
                <w:sz w:val="18"/>
                <w:szCs w:val="18"/>
              </w:rPr>
              <w:t> Legal Vice Presidency (LEG) and, as necessary, the Resettlement Committee (see para. 7 of this BP).</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2.  When a proposed project is likely to involve involuntary resettlement, the TT informs the borrower of the provisions of </w:t>
            </w:r>
            <w:hyperlink r:id="rId9" w:history="1">
              <w:r w:rsidRPr="00164933">
                <w:rPr>
                  <w:rFonts w:ascii="Arial" w:eastAsia="Times New Roman" w:hAnsi="Arial" w:cs="Arial"/>
                  <w:color w:val="204E84"/>
                  <w:sz w:val="18"/>
                  <w:szCs w:val="18"/>
                  <w:u w:val="single"/>
                </w:rPr>
                <w:t>OP</w:t>
              </w:r>
            </w:hyperlink>
            <w:r w:rsidRPr="00164933">
              <w:rPr>
                <w:rFonts w:ascii="Arial" w:eastAsia="Times New Roman" w:hAnsi="Arial" w:cs="Arial"/>
                <w:color w:val="000000"/>
                <w:sz w:val="18"/>
                <w:szCs w:val="18"/>
              </w:rPr>
              <w:t>/BP 4.12.  The TT and borrower staff</w:t>
            </w:r>
          </w:p>
          <w:p w:rsidR="00164933" w:rsidRPr="00164933" w:rsidRDefault="00164933" w:rsidP="00164933">
            <w:pPr>
              <w:spacing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(a) assess the nature and magnitude of the likely displacement;</w:t>
            </w:r>
          </w:p>
          <w:p w:rsidR="00164933" w:rsidRPr="00164933" w:rsidRDefault="00164933" w:rsidP="00164933">
            <w:p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(b) explore all viable alternative project designs to avoid, where feasible, or minimize displacement;</w:t>
            </w:r>
            <w:r w:rsidRPr="00164933">
              <w:rPr>
                <w:rFonts w:ascii="Arial" w:eastAsia="Times New Roman" w:hAnsi="Arial" w:cs="Arial"/>
                <w:color w:val="204E84"/>
                <w:sz w:val="18"/>
                <w:szCs w:val="18"/>
                <w:vertAlign w:val="superscript"/>
              </w:rPr>
              <w:footnoteReference w:customMarkFollows="1" w:id="4"/>
              <w:t>4</w:t>
            </w:r>
          </w:p>
          <w:p w:rsidR="00164933" w:rsidRPr="00164933" w:rsidRDefault="00164933" w:rsidP="00164933">
            <w:p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(c) assess the legal framework covering resettlement and the policies of the government and implementing agencies (identifying any inconsistencies between such policies and the Bank's policy);</w:t>
            </w:r>
          </w:p>
          <w:p w:rsidR="00164933" w:rsidRPr="00164933" w:rsidRDefault="00164933" w:rsidP="00164933">
            <w:p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(d) review past borrower and likely implementing agencies' experience with similar operations;</w:t>
            </w:r>
          </w:p>
          <w:p w:rsidR="00164933" w:rsidRPr="00164933" w:rsidRDefault="00164933" w:rsidP="00164933">
            <w:p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(e) discuss with the agencies responsible for resettlement the policies and institutional, legal, and consultative arrangements for resettlement, including measures to address any inconsistencies between government or implementing agency policies and Bank policy; and</w:t>
            </w:r>
          </w:p>
          <w:p w:rsidR="00164933" w:rsidRPr="00164933" w:rsidRDefault="00164933" w:rsidP="00164933">
            <w:p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(f) discuss any technical assistance to be provided to the borrower (see </w:t>
            </w:r>
            <w:hyperlink r:id="rId10" w:history="1">
              <w:r w:rsidRPr="00164933">
                <w:rPr>
                  <w:rFonts w:ascii="Arial" w:eastAsia="Times New Roman" w:hAnsi="Arial" w:cs="Arial"/>
                  <w:color w:val="204E84"/>
                  <w:sz w:val="18"/>
                  <w:szCs w:val="18"/>
                  <w:u w:val="single"/>
                </w:rPr>
                <w:t>OP 4.12, para. 32</w:t>
              </w:r>
            </w:hyperlink>
            <w:r w:rsidRPr="00164933">
              <w:rPr>
                <w:rFonts w:ascii="Arial" w:eastAsia="Times New Roman" w:hAnsi="Arial" w:cs="Arial"/>
                <w:color w:val="000000"/>
                <w:sz w:val="18"/>
                <w:szCs w:val="18"/>
              </w:rPr>
              <w:t>).</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3.  Based on the review of relevant resettlement issues, the TT agrees with the Regional social development unit and LEG on the type of resettlement instrument (resettlement plan, abbreviated resettlement plan, resettlement policy framework, or process framework) and the scope and the level of detail required.  The TT conveys these decisions to the borrower and also discusses with the borrower the actions necessary to prepare the resettlement instrument,</w:t>
            </w:r>
            <w:r w:rsidRPr="00164933">
              <w:rPr>
                <w:rFonts w:ascii="Arial" w:eastAsia="Times New Roman" w:hAnsi="Arial" w:cs="Arial"/>
                <w:color w:val="204E84"/>
                <w:sz w:val="18"/>
                <w:szCs w:val="18"/>
                <w:vertAlign w:val="superscript"/>
              </w:rPr>
              <w:footnoteReference w:customMarkFollows="1" w:id="5"/>
              <w:t>5</w:t>
            </w:r>
            <w:r w:rsidRPr="00164933">
              <w:rPr>
                <w:rFonts w:ascii="Arial" w:eastAsia="Times New Roman" w:hAnsi="Arial" w:cs="Arial"/>
                <w:color w:val="000000"/>
                <w:sz w:val="18"/>
                <w:szCs w:val="18"/>
              </w:rPr>
              <w:t> agrees on the timing for preparing the resettlement instrument, and monitors progress.</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4.  The TT summarizes in the Project Concept Document (PCD) and the Project Information Document (PID) available information on the nature and magnitude of displacement and the resettlement instrument to be used, and the TT periodically updates the PID as project planning proceeds.</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xml:space="preserve">5.  For projects with impacts under </w:t>
            </w:r>
            <w:hyperlink r:id="rId11" w:history="1">
              <w:r w:rsidRPr="00164933">
                <w:rPr>
                  <w:rFonts w:ascii="Arial" w:eastAsia="Times New Roman" w:hAnsi="Arial" w:cs="Arial"/>
                  <w:color w:val="204E84"/>
                  <w:sz w:val="18"/>
                  <w:szCs w:val="18"/>
                  <w:u w:val="single"/>
                </w:rPr>
                <w:t>para. 3 (a) of OP 4.12</w:t>
              </w:r>
            </w:hyperlink>
            <w:r w:rsidRPr="00164933">
              <w:rPr>
                <w:rFonts w:ascii="Arial" w:eastAsia="Times New Roman" w:hAnsi="Arial" w:cs="Arial"/>
                <w:color w:val="000000"/>
                <w:sz w:val="18"/>
                <w:szCs w:val="18"/>
              </w:rPr>
              <w:t> the TT assesses the following during project preparation:</w:t>
            </w:r>
          </w:p>
          <w:p w:rsidR="00164933" w:rsidRPr="00164933" w:rsidRDefault="00164933" w:rsidP="00164933">
            <w:pPr>
              <w:spacing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lastRenderedPageBreak/>
              <w:t>(a) the extent to which project design alternatives and options to minimize and mitigate involuntary resettlement have been considered;</w:t>
            </w:r>
          </w:p>
          <w:p w:rsidR="00164933" w:rsidRPr="00164933" w:rsidRDefault="00164933" w:rsidP="00164933">
            <w:p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xml:space="preserve">(b) progress in preparing the resettlement plan or resettlement policy framework and its adequacy with respect to </w:t>
            </w:r>
            <w:hyperlink r:id="rId12" w:history="1">
              <w:r w:rsidRPr="00164933">
                <w:rPr>
                  <w:rFonts w:ascii="Arial" w:eastAsia="Times New Roman" w:hAnsi="Arial" w:cs="Arial"/>
                  <w:color w:val="204E84"/>
                  <w:sz w:val="18"/>
                  <w:szCs w:val="18"/>
                  <w:u w:val="single"/>
                </w:rPr>
                <w:t>OP 4.12</w:t>
              </w:r>
            </w:hyperlink>
            <w:r w:rsidRPr="00164933">
              <w:rPr>
                <w:rFonts w:ascii="Arial" w:eastAsia="Times New Roman" w:hAnsi="Arial" w:cs="Arial"/>
                <w:color w:val="000000"/>
                <w:sz w:val="18"/>
                <w:szCs w:val="18"/>
              </w:rPr>
              <w:t>, including the involvement of affected groups and the extent to which the views of such groups are being considered;</w:t>
            </w:r>
          </w:p>
          <w:p w:rsidR="00164933" w:rsidRPr="00164933" w:rsidRDefault="00164933" w:rsidP="00164933">
            <w:p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(c) proposed criteria for eligibility of displaced persons for compensation and other resettlement assistance;</w:t>
            </w:r>
          </w:p>
          <w:p w:rsidR="00164933" w:rsidRPr="00164933" w:rsidRDefault="00164933" w:rsidP="00164933">
            <w:p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(d) the feasibility of the proposed resettlement measures, including provisions for sites if needed; funding for all resettlement activities, including provision of counterpart funding on an annual basis; the legal framework; and implementation and monitoring arrangements; and</w:t>
            </w:r>
          </w:p>
          <w:p w:rsidR="00164933" w:rsidRPr="00164933" w:rsidRDefault="00164933" w:rsidP="00164933">
            <w:p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(e) if sufficient land is not available in projects involving displaced persons whose livelihoods are land-based and for whom a land-based resettlement strategy is the preferred option, the evidence of lack of adequate land (</w:t>
            </w:r>
            <w:hyperlink r:id="rId13" w:history="1">
              <w:r w:rsidRPr="00164933">
                <w:rPr>
                  <w:rFonts w:ascii="Arial" w:eastAsia="Times New Roman" w:hAnsi="Arial" w:cs="Arial"/>
                  <w:color w:val="204E84"/>
                  <w:sz w:val="18"/>
                  <w:szCs w:val="18"/>
                  <w:u w:val="single"/>
                </w:rPr>
                <w:t>OP 4.12, para. 11</w:t>
              </w:r>
            </w:hyperlink>
            <w:r w:rsidRPr="00164933">
              <w:rPr>
                <w:rFonts w:ascii="Arial" w:eastAsia="Times New Roman" w:hAnsi="Arial" w:cs="Arial"/>
                <w:color w:val="000000"/>
                <w:sz w:val="18"/>
                <w:szCs w:val="18"/>
              </w:rPr>
              <w:t>).</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xml:space="preserve">6.  For projects with impacts under </w:t>
            </w:r>
            <w:hyperlink r:id="rId14" w:history="1">
              <w:r w:rsidRPr="00164933">
                <w:rPr>
                  <w:rFonts w:ascii="Arial" w:eastAsia="Times New Roman" w:hAnsi="Arial" w:cs="Arial"/>
                  <w:color w:val="204E84"/>
                  <w:sz w:val="18"/>
                  <w:szCs w:val="18"/>
                  <w:u w:val="single"/>
                </w:rPr>
                <w:t>para. 3 (b) of OP 4.12</w:t>
              </w:r>
            </w:hyperlink>
            <w:r w:rsidRPr="00164933">
              <w:rPr>
                <w:rFonts w:ascii="Arial" w:eastAsia="Times New Roman" w:hAnsi="Arial" w:cs="Arial"/>
                <w:color w:val="000000"/>
                <w:sz w:val="18"/>
                <w:szCs w:val="18"/>
              </w:rPr>
              <w:t>, the TT assesses the following during project preparation:</w:t>
            </w:r>
          </w:p>
          <w:p w:rsidR="00164933" w:rsidRPr="00164933" w:rsidRDefault="00164933" w:rsidP="00164933">
            <w:pPr>
              <w:spacing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(a) the extent to which project design alternatives and options to minimize and mitigate involuntary resettlement have been considered; and</w:t>
            </w:r>
          </w:p>
          <w:p w:rsidR="00164933" w:rsidRPr="00164933" w:rsidRDefault="00164933" w:rsidP="00164933">
            <w:p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xml:space="preserve">(b) progress in preparing the process framework and its adequacy in respect to </w:t>
            </w:r>
            <w:hyperlink r:id="rId15" w:history="1">
              <w:r w:rsidRPr="00164933">
                <w:rPr>
                  <w:rFonts w:ascii="Arial" w:eastAsia="Times New Roman" w:hAnsi="Arial" w:cs="Arial"/>
                  <w:color w:val="204E84"/>
                  <w:sz w:val="18"/>
                  <w:szCs w:val="18"/>
                  <w:u w:val="single"/>
                </w:rPr>
                <w:t>OP 4.12</w:t>
              </w:r>
            </w:hyperlink>
            <w:r w:rsidRPr="00164933">
              <w:rPr>
                <w:rFonts w:ascii="Arial" w:eastAsia="Times New Roman" w:hAnsi="Arial" w:cs="Arial"/>
                <w:color w:val="000000"/>
                <w:sz w:val="18"/>
                <w:szCs w:val="18"/>
              </w:rPr>
              <w:t>, including the adequacy of the proposed participatory approach; criteria for eligibility of displaced persons; funding for resettlement; the legal framework; and implementation and monitoring arrangements.</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xml:space="preserve">7.  The TT may request a meeting with the Resettlement Committee to obtain endorsement of, or guidance on, (a) the manner in which it proposes to address resettlement issues in a project, or (b) clarifications on the application and scope of this policy.  The Committee, chaired by the vice president responsible for resettlement, includes the Director, Social Development Department, a representative from LEG, and two representatives from Operations, one of whom is from the sector of the project being discussed.  The Committee is guided by the policy and, among other sources, the </w:t>
            </w:r>
            <w:r w:rsidRPr="00164933">
              <w:rPr>
                <w:rFonts w:ascii="Arial" w:eastAsia="Times New Roman" w:hAnsi="Arial" w:cs="Arial"/>
                <w:i/>
                <w:iCs/>
                <w:color w:val="000000"/>
                <w:sz w:val="18"/>
                <w:szCs w:val="18"/>
              </w:rPr>
              <w:t>Involuntary Resettlement Sourcebook</w:t>
            </w:r>
            <w:r w:rsidRPr="00164933">
              <w:rPr>
                <w:rFonts w:ascii="Arial" w:eastAsia="Times New Roman" w:hAnsi="Arial" w:cs="Arial"/>
                <w:color w:val="000000"/>
                <w:sz w:val="18"/>
                <w:szCs w:val="18"/>
              </w:rPr>
              <w:t>, which will be regularly updated to reflect good practice.</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w:t>
            </w:r>
          </w:p>
          <w:p w:rsidR="00164933" w:rsidRPr="00164933" w:rsidRDefault="00164933" w:rsidP="00164933">
            <w:pPr>
              <w:spacing w:after="0" w:line="240" w:lineRule="auto"/>
              <w:jc w:val="center"/>
              <w:rPr>
                <w:rFonts w:ascii="Arial" w:eastAsia="Times New Roman" w:hAnsi="Arial" w:cs="Arial"/>
                <w:color w:val="000000"/>
                <w:sz w:val="18"/>
                <w:szCs w:val="18"/>
              </w:rPr>
            </w:pPr>
            <w:r w:rsidRPr="00164933">
              <w:rPr>
                <w:rFonts w:ascii="Arial" w:eastAsia="Times New Roman" w:hAnsi="Arial" w:cs="Arial"/>
                <w:b/>
                <w:bCs/>
                <w:color w:val="000000"/>
                <w:sz w:val="18"/>
                <w:szCs w:val="18"/>
              </w:rPr>
              <w:t>Appraisal</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xml:space="preserve">8.  The borrower submits to the Bank a resettlement plan, a resettlement policy framework, or a process framework that conform with the requirements of </w:t>
            </w:r>
            <w:hyperlink r:id="rId16" w:history="1">
              <w:r w:rsidRPr="00164933">
                <w:rPr>
                  <w:rFonts w:ascii="Arial" w:eastAsia="Times New Roman" w:hAnsi="Arial" w:cs="Arial"/>
                  <w:color w:val="204E84"/>
                  <w:sz w:val="18"/>
                  <w:szCs w:val="18"/>
                  <w:u w:val="single"/>
                </w:rPr>
                <w:t>OP 4.12</w:t>
              </w:r>
            </w:hyperlink>
            <w:r w:rsidRPr="00164933">
              <w:rPr>
                <w:rFonts w:ascii="Arial" w:eastAsia="Times New Roman" w:hAnsi="Arial" w:cs="Arial"/>
                <w:color w:val="000000"/>
                <w:sz w:val="18"/>
                <w:szCs w:val="18"/>
              </w:rPr>
              <w:t>, as a condition of appraisal for projects involving involuntary resettlement (see </w:t>
            </w:r>
            <w:hyperlink r:id="rId17" w:history="1">
              <w:r w:rsidRPr="00164933">
                <w:rPr>
                  <w:rFonts w:ascii="Arial" w:eastAsia="Times New Roman" w:hAnsi="Arial" w:cs="Arial"/>
                  <w:color w:val="204E84"/>
                  <w:sz w:val="18"/>
                  <w:szCs w:val="18"/>
                  <w:u w:val="single"/>
                </w:rPr>
                <w:t>OP 4.12, paras. 17-31</w:t>
              </w:r>
            </w:hyperlink>
            <w:r w:rsidRPr="00164933">
              <w:rPr>
                <w:rFonts w:ascii="Arial" w:eastAsia="Times New Roman" w:hAnsi="Arial" w:cs="Arial"/>
                <w:color w:val="000000"/>
                <w:sz w:val="18"/>
                <w:szCs w:val="18"/>
              </w:rPr>
              <w:t xml:space="preserve">).  Appraisal may be authorized before the plan is completed in highly unusual circumstances (such as emergency operations) with the approval of the Managing Director in consultation with the Resettlement Committee.  In such cases, the TT agrees with the borrower on a timetable for preparing and furnishing to the Bank the relevant resettlement instrument that conforms with the requirements of </w:t>
            </w:r>
            <w:hyperlink r:id="rId18" w:history="1">
              <w:r w:rsidRPr="00164933">
                <w:rPr>
                  <w:rFonts w:ascii="Arial" w:eastAsia="Times New Roman" w:hAnsi="Arial" w:cs="Arial"/>
                  <w:color w:val="204E84"/>
                  <w:sz w:val="18"/>
                  <w:szCs w:val="18"/>
                  <w:u w:val="single"/>
                </w:rPr>
                <w:t>OP 4.12</w:t>
              </w:r>
            </w:hyperlink>
            <w:r w:rsidRPr="00164933">
              <w:rPr>
                <w:rFonts w:ascii="Arial" w:eastAsia="Times New Roman" w:hAnsi="Arial" w:cs="Arial"/>
                <w:color w:val="000000"/>
                <w:sz w:val="18"/>
                <w:szCs w:val="18"/>
              </w:rPr>
              <w:t>.</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9.  Once the borrower officially transmits the draft resettlement instrument to the Bank, Bank staff--including the Regional resettlement specialists and the lawyer--review it, determine whether it provides an adequate basis for project appraisal, and advise the Regional sector management accordingly.  Once approval for appraisal has been granted by the Country Director, the TT sends the draft resettlement instrument to the Bank's InfoShop.</w:t>
            </w:r>
            <w:r w:rsidRPr="00164933">
              <w:rPr>
                <w:rFonts w:ascii="Arial" w:eastAsia="Times New Roman" w:hAnsi="Arial" w:cs="Arial"/>
                <w:color w:val="204E84"/>
                <w:sz w:val="18"/>
                <w:szCs w:val="18"/>
                <w:vertAlign w:val="superscript"/>
              </w:rPr>
              <w:footnoteReference w:customMarkFollows="1" w:id="6"/>
              <w:t>6</w:t>
            </w:r>
            <w:r w:rsidRPr="00164933">
              <w:rPr>
                <w:rFonts w:ascii="Arial" w:eastAsia="Times New Roman" w:hAnsi="Arial" w:cs="Arial"/>
                <w:color w:val="000000"/>
                <w:sz w:val="18"/>
                <w:szCs w:val="18"/>
              </w:rPr>
              <w:t xml:space="preserve"> The TT also prepares and sends the English language executive summary of the draft resettlement instrument to the Corporate Secretariat, under cover of a transmittal memorandum confirming that the executive summary and the draft resettlement instrument are subject to change during appraisal.</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br/>
              <w:t> </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10.  During project appraisal, the TT assesses (a) the borrower's commitment to and capacity for implementing the resettlement instrument; (b) the feasibility of the proposed measures for improvement or restoration of livelihoods and standards of living; (c) availability of adequate counterpart funds for resettlement activities; (d) significant risks, including risk of impoverishment, from inadequate implementation of the resettlement instrument; (e) consistency of the proposed resettlement instrument with the Project Implementation Plan; and (f) the adequacy of arrangements for internal, and if considered appropriate by the TT, independent monitoring and evaluation of the implementation of the resettlement instrument.</w:t>
            </w:r>
            <w:r w:rsidRPr="00164933">
              <w:rPr>
                <w:rFonts w:ascii="Arial" w:eastAsia="Times New Roman" w:hAnsi="Arial" w:cs="Arial"/>
                <w:color w:val="204E84"/>
                <w:sz w:val="18"/>
                <w:szCs w:val="18"/>
                <w:vertAlign w:val="superscript"/>
              </w:rPr>
              <w:footnoteReference w:customMarkFollows="1" w:id="7"/>
              <w:t>7</w:t>
            </w:r>
            <w:r w:rsidRPr="00164933">
              <w:rPr>
                <w:rFonts w:ascii="Arial" w:eastAsia="Times New Roman" w:hAnsi="Arial" w:cs="Arial"/>
                <w:color w:val="000000"/>
                <w:sz w:val="18"/>
                <w:szCs w:val="18"/>
              </w:rPr>
              <w:t xml:space="preserve"> The TT obtains the concurrence of the Regional social development unit and LEG to any changes to the draft resettlement instrument during project appraisal.  Appraisal is complete only when the borrower officially transmits to the Bank the final draft resettlement instrument conforming to Bank policy (</w:t>
            </w:r>
            <w:hyperlink r:id="rId19" w:history="1">
              <w:r w:rsidRPr="00164933">
                <w:rPr>
                  <w:rFonts w:ascii="Arial" w:eastAsia="Times New Roman" w:hAnsi="Arial" w:cs="Arial"/>
                  <w:color w:val="204E84"/>
                  <w:sz w:val="18"/>
                  <w:szCs w:val="18"/>
                  <w:u w:val="single"/>
                </w:rPr>
                <w:t>OP 4.12</w:t>
              </w:r>
            </w:hyperlink>
            <w:r w:rsidRPr="00164933">
              <w:rPr>
                <w:rFonts w:ascii="Arial" w:eastAsia="Times New Roman" w:hAnsi="Arial" w:cs="Arial"/>
                <w:color w:val="000000"/>
                <w:sz w:val="18"/>
                <w:szCs w:val="18"/>
              </w:rPr>
              <w:t>).</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11.  In the Project Appraisal Document (PAD), the TT describes the resettlement issues, proposed resettlement instrument and measures, and the borrower's commitment to and institutional and financial capacity for implementing the resettlement instrument.  The TT also discusses in the PAD the feasibility of the proposed resettlement measures and the risks associated with resettlement implementation.  In the annex to the PAD, the TT summarizes the resettlement provisions, covering, inter alia, basic information on affected populations, resettlement measures, institutional arrangements, timetable, budget, including adequate and timely provision of counterpart funds, and performance monitoring indicators.  The PAD annex shows the overall cost of resettlement as a distinct part of project costs.</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12.  The project description in the Loan Agreement describes the resettlement component or subcomponent.  The legal agreements provide for the borrower's obligation to carry out the relevant resettlement instrument and keep the Bank informed of project implementation progress.</w:t>
            </w:r>
            <w:r w:rsidRPr="00164933">
              <w:rPr>
                <w:rFonts w:ascii="Arial" w:eastAsia="Times New Roman" w:hAnsi="Arial" w:cs="Arial"/>
                <w:color w:val="204E84"/>
                <w:sz w:val="18"/>
                <w:szCs w:val="18"/>
                <w:vertAlign w:val="superscript"/>
              </w:rPr>
              <w:footnoteReference w:customMarkFollows="1" w:id="8"/>
              <w:t>8</w:t>
            </w:r>
            <w:r w:rsidRPr="00164933">
              <w:rPr>
                <w:rFonts w:ascii="Arial" w:eastAsia="Times New Roman" w:hAnsi="Arial" w:cs="Arial"/>
                <w:color w:val="000000"/>
                <w:sz w:val="18"/>
                <w:szCs w:val="18"/>
              </w:rPr>
              <w:t xml:space="preserve"> At negotiations, the borrower and the Bank agree on the resettlement plan or resettlement policy framework or process framework.  Before presenting the project to the Board, the TT confirms that the responsible authority of the borrower and any implementation agency have provided final approval of the relevant resettlement instrument.</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w:t>
            </w:r>
          </w:p>
          <w:p w:rsidR="00164933" w:rsidRPr="00164933" w:rsidRDefault="00164933" w:rsidP="00164933">
            <w:pPr>
              <w:spacing w:after="0" w:line="240" w:lineRule="auto"/>
              <w:jc w:val="center"/>
              <w:rPr>
                <w:rFonts w:ascii="Arial" w:eastAsia="Times New Roman" w:hAnsi="Arial" w:cs="Arial"/>
                <w:color w:val="000000"/>
                <w:sz w:val="18"/>
                <w:szCs w:val="18"/>
              </w:rPr>
            </w:pPr>
            <w:r w:rsidRPr="00164933">
              <w:rPr>
                <w:rFonts w:ascii="Arial" w:eastAsia="Times New Roman" w:hAnsi="Arial" w:cs="Arial"/>
                <w:b/>
                <w:bCs/>
                <w:color w:val="000000"/>
                <w:sz w:val="18"/>
                <w:szCs w:val="18"/>
              </w:rPr>
              <w:t>Supervision</w:t>
            </w:r>
          </w:p>
          <w:p w:rsidR="00164933" w:rsidRPr="00164933" w:rsidRDefault="00164933" w:rsidP="00164933">
            <w:pPr>
              <w:spacing w:after="0" w:line="240" w:lineRule="auto"/>
              <w:jc w:val="center"/>
              <w:rPr>
                <w:rFonts w:ascii="Arial" w:eastAsia="Times New Roman" w:hAnsi="Arial" w:cs="Arial"/>
                <w:color w:val="000000"/>
                <w:sz w:val="18"/>
                <w:szCs w:val="18"/>
              </w:rPr>
            </w:pPr>
            <w:r w:rsidRPr="00164933">
              <w:rPr>
                <w:rFonts w:ascii="Arial" w:eastAsia="Times New Roman" w:hAnsi="Arial" w:cs="Arial"/>
                <w:color w:val="000000"/>
                <w:sz w:val="18"/>
                <w:szCs w:val="18"/>
              </w:rPr>
              <w:t> </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13.  Recognizing the importance of close and frequent supervision</w:t>
            </w:r>
            <w:r w:rsidRPr="00164933">
              <w:rPr>
                <w:rFonts w:ascii="Arial" w:eastAsia="Times New Roman" w:hAnsi="Arial" w:cs="Arial"/>
                <w:color w:val="204E84"/>
                <w:sz w:val="18"/>
                <w:szCs w:val="18"/>
                <w:vertAlign w:val="superscript"/>
              </w:rPr>
              <w:footnoteReference w:customMarkFollows="1" w:id="9"/>
              <w:t>9</w:t>
            </w:r>
            <w:r w:rsidRPr="00164933">
              <w:rPr>
                <w:rFonts w:ascii="Arial" w:eastAsia="Times New Roman" w:hAnsi="Arial" w:cs="Arial"/>
                <w:color w:val="000000"/>
                <w:sz w:val="18"/>
                <w:szCs w:val="18"/>
              </w:rPr>
              <w:t> to good resettlement outcomes, the Regional vice president, in coordination with the relevant country director, ensures that appropriate measures are established for the effective supervision of projects with involuntary resettlement.  For this purpose, the country director allocates dedicated funds to adequately supervise resettlement, taking into account the magnitude and complexity of the resettlement component or subcomponent and the need to involve the requisite social, financial, legal, and technical experts.  Supervision should be carried out with due regard to the Regional Action Plan for Resettlement Supervision.</w:t>
            </w:r>
            <w:r w:rsidRPr="00164933">
              <w:rPr>
                <w:rFonts w:ascii="Arial" w:eastAsia="Times New Roman" w:hAnsi="Arial" w:cs="Arial"/>
                <w:color w:val="204E84"/>
                <w:sz w:val="18"/>
                <w:szCs w:val="18"/>
                <w:vertAlign w:val="superscript"/>
              </w:rPr>
              <w:footnoteReference w:customMarkFollows="1" w:id="10"/>
              <w:t>10</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14.  Throughout project implementation the TL supervises the implementation of the resettlement instrument ensuring that the requisite social, financial, legal, and technical experts are included in supervision missions.  Supervision focuses on compliance with the legal instruments, including the Project Implementation Plan and the resettlement instrument, and the TT discusses any deviation from the agreed instruments with the borrower and reports it to Regional Management for prompt corrective action.  The TT regularly reviews the internal, and where applicable, independent monitoring reports to ensure that the findings and recommendations of the monitoring exercise are being incorporated in project implementation.  To facilitate a timely response to problems or opportunities that may arise with respect to resettlement, the TT reviews project resettlement planning and implementation during the early stages of project implementation.  On the basis of the findings of this review, the TT engages the borrower in discussing and, if necessary, amending the relevant resettlement instrument to achieve the objectives of this policy.</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xml:space="preserve">15.  For projects with impacts covered under </w:t>
            </w:r>
            <w:hyperlink r:id="rId20" w:history="1">
              <w:r w:rsidRPr="00164933">
                <w:rPr>
                  <w:rFonts w:ascii="Arial" w:eastAsia="Times New Roman" w:hAnsi="Arial" w:cs="Arial"/>
                  <w:color w:val="204E84"/>
                  <w:sz w:val="18"/>
                  <w:szCs w:val="18"/>
                  <w:u w:val="single"/>
                </w:rPr>
                <w:t>para. 3(b) of OP 4.12</w:t>
              </w:r>
            </w:hyperlink>
            <w:r w:rsidRPr="00164933">
              <w:rPr>
                <w:rFonts w:ascii="Arial" w:eastAsia="Times New Roman" w:hAnsi="Arial" w:cs="Arial"/>
                <w:color w:val="000000"/>
                <w:sz w:val="18"/>
                <w:szCs w:val="18"/>
              </w:rPr>
              <w:t>, the TT assesses the plan of action to determine the feasibility of the measures to assist the displaced persons to improve (or at least restore in real terms to pre-project or pre-displacement levels, whichever is higher) their livelihoods with due regard to the sustainability of the natural resource, and accordingly informs the Regional Management, the Regional social development unit, and LEG.  The TL makes the plan of action available to the public through the InfoShop.</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16.  A project is not considered complete--and Bank supervision continues--until the resettlement measures set out in the relevant resettlement instrument have been implemented.  Upon completion of the project, the Implementation Completion Report (ICR)</w:t>
            </w:r>
            <w:r w:rsidRPr="00164933">
              <w:rPr>
                <w:rFonts w:ascii="Arial" w:eastAsia="Times New Roman" w:hAnsi="Arial" w:cs="Arial"/>
                <w:color w:val="204E84"/>
                <w:sz w:val="18"/>
                <w:szCs w:val="18"/>
                <w:vertAlign w:val="superscript"/>
              </w:rPr>
              <w:footnoteReference w:customMarkFollows="1" w:id="11"/>
              <w:t>11</w:t>
            </w:r>
            <w:r w:rsidRPr="00164933">
              <w:rPr>
                <w:rFonts w:ascii="Arial" w:eastAsia="Times New Roman" w:hAnsi="Arial" w:cs="Arial"/>
                <w:color w:val="000000"/>
                <w:sz w:val="18"/>
                <w:szCs w:val="18"/>
              </w:rPr>
              <w:t> valuates the achievement of the objectives of the resettlement instrument and lessons for future operations and summarizes the findings of the borrower's assessment referred to in </w:t>
            </w:r>
            <w:hyperlink r:id="rId21" w:history="1">
              <w:r w:rsidRPr="00164933">
                <w:rPr>
                  <w:rFonts w:ascii="Arial" w:eastAsia="Times New Roman" w:hAnsi="Arial" w:cs="Arial"/>
                  <w:color w:val="204E84"/>
                  <w:sz w:val="18"/>
                  <w:szCs w:val="18"/>
                  <w:u w:val="single"/>
                </w:rPr>
                <w:t>OP 4.12, para. 24</w:t>
              </w:r>
            </w:hyperlink>
            <w:r w:rsidRPr="00164933">
              <w:rPr>
                <w:rFonts w:ascii="Arial" w:eastAsia="Times New Roman" w:hAnsi="Arial" w:cs="Arial"/>
                <w:color w:val="000000"/>
                <w:sz w:val="18"/>
                <w:szCs w:val="18"/>
              </w:rPr>
              <w:t>.</w:t>
            </w:r>
            <w:r w:rsidRPr="00164933">
              <w:rPr>
                <w:rFonts w:ascii="Arial" w:eastAsia="Times New Roman" w:hAnsi="Arial" w:cs="Arial"/>
                <w:color w:val="204E84"/>
                <w:sz w:val="18"/>
                <w:szCs w:val="18"/>
                <w:vertAlign w:val="superscript"/>
              </w:rPr>
              <w:footnoteReference w:customMarkFollows="1" w:id="12"/>
              <w:t>12</w:t>
            </w:r>
            <w:r w:rsidRPr="00164933">
              <w:rPr>
                <w:rFonts w:ascii="Arial" w:eastAsia="Times New Roman" w:hAnsi="Arial" w:cs="Arial"/>
                <w:color w:val="000000"/>
                <w:sz w:val="18"/>
                <w:szCs w:val="18"/>
              </w:rPr>
              <w:t xml:space="preserve"> If the evaluation suggests that the objectives of the resettlement instrument may not be realized, the ICR assesses the appropriateness of the resettlement measures and may propose a future course of action, including, as appropriate, continued supervision by the Bank.</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w:t>
            </w:r>
          </w:p>
          <w:p w:rsidR="00164933" w:rsidRPr="00164933" w:rsidRDefault="00164933" w:rsidP="00164933">
            <w:pPr>
              <w:spacing w:after="0" w:line="240" w:lineRule="auto"/>
              <w:jc w:val="center"/>
              <w:rPr>
                <w:rFonts w:ascii="Arial" w:eastAsia="Times New Roman" w:hAnsi="Arial" w:cs="Arial"/>
                <w:color w:val="000000"/>
                <w:sz w:val="18"/>
                <w:szCs w:val="18"/>
              </w:rPr>
            </w:pPr>
            <w:r w:rsidRPr="00164933">
              <w:rPr>
                <w:rFonts w:ascii="Arial" w:eastAsia="Times New Roman" w:hAnsi="Arial" w:cs="Arial"/>
                <w:b/>
                <w:bCs/>
                <w:color w:val="000000"/>
                <w:sz w:val="18"/>
                <w:szCs w:val="18"/>
              </w:rPr>
              <w:t>Country Assistance Strategy</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 </w:t>
            </w:r>
          </w:p>
          <w:p w:rsidR="00164933" w:rsidRPr="00164933" w:rsidRDefault="00164933" w:rsidP="00164933">
            <w:pPr>
              <w:spacing w:after="0"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17.  In countries with a series of operations requiring resettlement, the ongoing country and sector dialogue with the government should include any issues pertaining to the country's policy, institutional, and legal framework for resettlement.  Bank staff should reflect these issues in country economic and sector work and in the Country Assistance Strategy.</w:t>
            </w:r>
          </w:p>
          <w:p w:rsidR="00164933" w:rsidRPr="00164933" w:rsidRDefault="00164933" w:rsidP="00164933">
            <w:p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8"/>
                <w:szCs w:val="18"/>
              </w:rPr>
              <w:t>__________________________</w:t>
            </w:r>
          </w:p>
          <w:p w:rsidR="00164933" w:rsidRPr="00164933" w:rsidRDefault="00164933" w:rsidP="00164933">
            <w:pPr>
              <w:numPr>
                <w:ilvl w:val="0"/>
                <w:numId w:val="1"/>
              </w:num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5"/>
                <w:szCs w:val="15"/>
              </w:rPr>
              <w:t>"Bank" includes IBRD and IDA; "loans" includes IDA credits and IDA grants, guarantees, Project Preparation Facility (PPF) advances, and grants; and "projects" includes projects under (a) adaptable program lending; (b) learning and innovation loans; (c) PPFs and Institutional Development Funds (IDFs), if they include investment activities; (d) grants under the Global Environment Facility and Montreal Protocol for which the Bank is the implementing/executing agency; and (e) grants or loans provided by other donors that are administered by the Bank.  The term "project" does not include programs under development policy lending operations. "Borrower" also includes, wherever the context requires, the guarantor or the project implementing agency.</w:t>
            </w:r>
          </w:p>
          <w:p w:rsidR="00164933" w:rsidRPr="00164933" w:rsidRDefault="00164933" w:rsidP="00164933">
            <w:pPr>
              <w:numPr>
                <w:ilvl w:val="0"/>
                <w:numId w:val="1"/>
              </w:num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5"/>
                <w:szCs w:val="15"/>
              </w:rPr>
              <w:footnoteReference w:customMarkFollows="1" w:id="13"/>
              <w:t>See</w:t>
            </w:r>
            <w:r w:rsidRPr="00164933">
              <w:rPr>
                <w:rFonts w:ascii="Arial" w:eastAsia="Times New Roman" w:hAnsi="Arial" w:cs="Arial"/>
                <w:color w:val="000000"/>
                <w:sz w:val="18"/>
                <w:szCs w:val="18"/>
              </w:rPr>
              <w:t> </w:t>
            </w:r>
            <w:hyperlink r:id="rId22" w:history="1">
              <w:r w:rsidRPr="00164933">
                <w:rPr>
                  <w:rFonts w:ascii="Arial" w:eastAsia="Times New Roman" w:hAnsi="Arial" w:cs="Arial"/>
                  <w:color w:val="204E84"/>
                  <w:sz w:val="15"/>
                  <w:szCs w:val="15"/>
                  <w:u w:val="single"/>
                </w:rPr>
                <w:t>OP 4.12</w:t>
              </w:r>
            </w:hyperlink>
            <w:r w:rsidRPr="00164933">
              <w:rPr>
                <w:rFonts w:ascii="Arial" w:eastAsia="Times New Roman" w:hAnsi="Arial" w:cs="Arial"/>
                <w:color w:val="000000"/>
                <w:sz w:val="15"/>
                <w:szCs w:val="15"/>
              </w:rPr>
              <w:t xml:space="preserve">, </w:t>
            </w:r>
            <w:r w:rsidRPr="00164933">
              <w:rPr>
                <w:rFonts w:ascii="Arial" w:eastAsia="Times New Roman" w:hAnsi="Arial" w:cs="Arial"/>
                <w:i/>
                <w:iCs/>
                <w:color w:val="000000"/>
                <w:sz w:val="15"/>
                <w:szCs w:val="15"/>
              </w:rPr>
              <w:t>Involuntary Resettlement.</w:t>
            </w:r>
          </w:p>
          <w:p w:rsidR="00164933" w:rsidRPr="00164933" w:rsidRDefault="00164933" w:rsidP="00164933">
            <w:pPr>
              <w:numPr>
                <w:ilvl w:val="0"/>
                <w:numId w:val="1"/>
              </w:num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5"/>
                <w:szCs w:val="15"/>
              </w:rPr>
              <w:footnoteReference w:customMarkFollows="1" w:id="14"/>
              <w:t>Unit or department in the Region responsible for resettlement issues.</w:t>
            </w:r>
          </w:p>
          <w:p w:rsidR="00164933" w:rsidRPr="00164933" w:rsidRDefault="00164933" w:rsidP="00164933">
            <w:pPr>
              <w:numPr>
                <w:ilvl w:val="0"/>
                <w:numId w:val="1"/>
              </w:num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5"/>
                <w:szCs w:val="15"/>
              </w:rPr>
              <w:footnoteReference w:customMarkFollows="1" w:id="15"/>
              <w:t>The Bank satisfies itself that the borrower has explored all viable alternative project designs to avoid involuntary resettlement and, when it is not feasible to avoid such resettlement, to minimize the scale and impacts of resettlement (for example, realignment of roads or reduction in dam height may reduce resettlement needs).  Such alternative designs should be consistent with other Bank policies.</w:t>
            </w:r>
          </w:p>
          <w:p w:rsidR="00164933" w:rsidRPr="00164933" w:rsidRDefault="00164933" w:rsidP="00164933">
            <w:pPr>
              <w:numPr>
                <w:ilvl w:val="0"/>
                <w:numId w:val="1"/>
              </w:num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5"/>
                <w:szCs w:val="15"/>
              </w:rPr>
              <w:footnoteReference w:customMarkFollows="1" w:id="16"/>
              <w:t>Such actions may include, for example, developing procedures for establishing eligibility for resettlement assistance; conducting socioeconomic surveys and legal analyses; carrying out public consultation; identifying resettlement sites;  evaluating options for improvement or restoration of livelihoods and standards of living; or, in the case of highly risky or contentious projects, engaging a panel of independent, internationally recognized resettlement specialists.</w:t>
            </w:r>
          </w:p>
          <w:p w:rsidR="00164933" w:rsidRPr="00164933" w:rsidRDefault="00164933" w:rsidP="00164933">
            <w:pPr>
              <w:numPr>
                <w:ilvl w:val="0"/>
                <w:numId w:val="1"/>
              </w:num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5"/>
                <w:szCs w:val="15"/>
              </w:rPr>
              <w:footnoteReference w:customMarkFollows="1" w:id="17"/>
              <w:t>See </w:t>
            </w:r>
            <w:hyperlink r:id="rId23" w:history="1">
              <w:r w:rsidRPr="00164933">
                <w:rPr>
                  <w:rFonts w:ascii="Arial" w:eastAsia="Times New Roman" w:hAnsi="Arial" w:cs="Arial"/>
                  <w:i/>
                  <w:iCs/>
                  <w:color w:val="204E84"/>
                  <w:sz w:val="15"/>
                  <w:u w:val="single"/>
                </w:rPr>
                <w:t>The World Bank Policy on Disclosure of Information, para. 34</w:t>
              </w:r>
            </w:hyperlink>
            <w:r w:rsidRPr="00164933">
              <w:rPr>
                <w:rFonts w:ascii="Arial" w:eastAsia="Times New Roman" w:hAnsi="Arial" w:cs="Arial"/>
                <w:color w:val="000000"/>
                <w:sz w:val="15"/>
                <w:szCs w:val="15"/>
              </w:rPr>
              <w:t>  (Washington, D.C.: World Bank, 2002).</w:t>
            </w:r>
            <w:r w:rsidRPr="00164933">
              <w:rPr>
                <w:rFonts w:ascii="Arial" w:eastAsia="Times New Roman" w:hAnsi="Arial" w:cs="Arial"/>
                <w:color w:val="000000"/>
                <w:sz w:val="18"/>
                <w:szCs w:val="18"/>
              </w:rPr>
              <w:t> </w:t>
            </w:r>
          </w:p>
          <w:p w:rsidR="00164933" w:rsidRPr="00164933" w:rsidRDefault="00164933" w:rsidP="00164933">
            <w:pPr>
              <w:numPr>
                <w:ilvl w:val="0"/>
                <w:numId w:val="1"/>
              </w:num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5"/>
                <w:szCs w:val="15"/>
              </w:rPr>
              <w:footnoteReference w:customMarkFollows="1" w:id="18"/>
              <w:t>For projects with impacts covered under </w:t>
            </w:r>
            <w:r w:rsidRPr="00164933">
              <w:rPr>
                <w:rFonts w:ascii="Arial" w:eastAsia="Times New Roman" w:hAnsi="Arial" w:cs="Arial"/>
                <w:color w:val="000000"/>
                <w:sz w:val="18"/>
                <w:szCs w:val="18"/>
              </w:rPr>
              <w:t> </w:t>
            </w:r>
            <w:hyperlink r:id="rId24" w:history="1">
              <w:r w:rsidRPr="00164933">
                <w:rPr>
                  <w:rFonts w:ascii="Arial" w:eastAsia="Times New Roman" w:hAnsi="Arial" w:cs="Arial"/>
                  <w:color w:val="204E84"/>
                  <w:sz w:val="15"/>
                  <w:szCs w:val="15"/>
                  <w:u w:val="single"/>
                </w:rPr>
                <w:t>para. 3 (b) of OP 4.12</w:t>
              </w:r>
            </w:hyperlink>
            <w:r w:rsidRPr="00164933">
              <w:rPr>
                <w:rFonts w:ascii="Arial" w:eastAsia="Times New Roman" w:hAnsi="Arial" w:cs="Arial"/>
                <w:color w:val="000000"/>
                <w:sz w:val="15"/>
                <w:szCs w:val="15"/>
              </w:rPr>
              <w:t>, the analysis referred to in (b) and (d) above is carried out when the plan of action is furnished to the Bank (see para. 15 of this BP).</w:t>
            </w:r>
          </w:p>
          <w:p w:rsidR="00164933" w:rsidRPr="00164933" w:rsidRDefault="00164933" w:rsidP="00164933">
            <w:pPr>
              <w:numPr>
                <w:ilvl w:val="0"/>
                <w:numId w:val="1"/>
              </w:num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5"/>
                <w:szCs w:val="15"/>
              </w:rPr>
              <w:footnoteReference w:customMarkFollows="1" w:id="19"/>
              <w:t>In case of resettlement policy framework, the borrower's obligation also includes preparing a resettlement plan in accordance with the framework, for each sub-project giving rise to displacement, and furnishing it to be the Bank for approval prior to implementation of the sub-project.</w:t>
            </w:r>
          </w:p>
          <w:p w:rsidR="00164933" w:rsidRPr="00164933" w:rsidRDefault="00164933" w:rsidP="00164933">
            <w:pPr>
              <w:numPr>
                <w:ilvl w:val="0"/>
                <w:numId w:val="1"/>
              </w:num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5"/>
                <w:szCs w:val="15"/>
              </w:rPr>
              <w:footnoteReference w:customMarkFollows="1" w:id="20"/>
              <w:t>See </w:t>
            </w:r>
            <w:hyperlink r:id="rId25" w:history="1">
              <w:r w:rsidRPr="00164933">
                <w:rPr>
                  <w:rFonts w:ascii="Arial" w:eastAsia="Times New Roman" w:hAnsi="Arial" w:cs="Arial"/>
                  <w:color w:val="204E84"/>
                  <w:sz w:val="15"/>
                  <w:szCs w:val="15"/>
                  <w:u w:val="single"/>
                </w:rPr>
                <w:t>OP</w:t>
              </w:r>
            </w:hyperlink>
            <w:r w:rsidRPr="00164933">
              <w:rPr>
                <w:rFonts w:ascii="Arial" w:eastAsia="Times New Roman" w:hAnsi="Arial" w:cs="Arial"/>
                <w:color w:val="000000"/>
                <w:sz w:val="15"/>
                <w:szCs w:val="15"/>
              </w:rPr>
              <w:t>/</w:t>
            </w:r>
            <w:hyperlink r:id="rId26" w:history="1">
              <w:r w:rsidRPr="00164933">
                <w:rPr>
                  <w:rFonts w:ascii="Arial" w:eastAsia="Times New Roman" w:hAnsi="Arial" w:cs="Arial"/>
                  <w:color w:val="204E84"/>
                  <w:sz w:val="15"/>
                  <w:szCs w:val="15"/>
                  <w:u w:val="single"/>
                </w:rPr>
                <w:t>BP</w:t>
              </w:r>
            </w:hyperlink>
            <w:r w:rsidRPr="00164933">
              <w:rPr>
                <w:rFonts w:ascii="Arial" w:eastAsia="Times New Roman" w:hAnsi="Arial" w:cs="Arial"/>
                <w:color w:val="000000"/>
                <w:sz w:val="15"/>
                <w:szCs w:val="15"/>
              </w:rPr>
              <w:t xml:space="preserve"> 13.05, </w:t>
            </w:r>
            <w:r w:rsidRPr="00164933">
              <w:rPr>
                <w:rFonts w:ascii="Arial" w:eastAsia="Times New Roman" w:hAnsi="Arial" w:cs="Arial"/>
                <w:i/>
                <w:iCs/>
                <w:color w:val="000000"/>
                <w:sz w:val="15"/>
                <w:szCs w:val="15"/>
              </w:rPr>
              <w:t>Project Supervision</w:t>
            </w:r>
            <w:r w:rsidRPr="00164933">
              <w:rPr>
                <w:rFonts w:ascii="Arial" w:eastAsia="Times New Roman" w:hAnsi="Arial" w:cs="Arial"/>
                <w:color w:val="000000"/>
                <w:sz w:val="15"/>
                <w:szCs w:val="15"/>
              </w:rPr>
              <w:t>.</w:t>
            </w:r>
          </w:p>
          <w:p w:rsidR="00164933" w:rsidRPr="00164933" w:rsidRDefault="00164933" w:rsidP="00164933">
            <w:pPr>
              <w:numPr>
                <w:ilvl w:val="0"/>
                <w:numId w:val="1"/>
              </w:num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5"/>
                <w:szCs w:val="15"/>
              </w:rPr>
              <w:footnoteReference w:customMarkFollows="1" w:id="21"/>
              <w:t>The Plan is prepared by the regional social development unit in consultation with the TTs and Legal.</w:t>
            </w:r>
          </w:p>
          <w:p w:rsidR="00164933" w:rsidRPr="00164933" w:rsidRDefault="00164933" w:rsidP="00164933">
            <w:pPr>
              <w:numPr>
                <w:ilvl w:val="0"/>
                <w:numId w:val="1"/>
              </w:num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5"/>
                <w:szCs w:val="15"/>
              </w:rPr>
              <w:footnoteReference w:customMarkFollows="1" w:id="22"/>
              <w:t>See </w:t>
            </w:r>
            <w:hyperlink r:id="rId27" w:history="1">
              <w:r w:rsidRPr="00164933">
                <w:rPr>
                  <w:rFonts w:ascii="Arial" w:eastAsia="Times New Roman" w:hAnsi="Arial" w:cs="Arial"/>
                  <w:color w:val="204E84"/>
                  <w:sz w:val="15"/>
                  <w:szCs w:val="15"/>
                  <w:u w:val="single"/>
                </w:rPr>
                <w:t>OP</w:t>
              </w:r>
            </w:hyperlink>
            <w:r w:rsidRPr="00164933">
              <w:rPr>
                <w:rFonts w:ascii="Arial" w:eastAsia="Times New Roman" w:hAnsi="Arial" w:cs="Arial"/>
                <w:color w:val="000000"/>
                <w:sz w:val="15"/>
                <w:szCs w:val="15"/>
              </w:rPr>
              <w:t>/</w:t>
            </w:r>
            <w:hyperlink r:id="rId28" w:history="1">
              <w:r w:rsidRPr="00164933">
                <w:rPr>
                  <w:rFonts w:ascii="Arial" w:eastAsia="Times New Roman" w:hAnsi="Arial" w:cs="Arial"/>
                  <w:color w:val="204E84"/>
                  <w:sz w:val="15"/>
                  <w:szCs w:val="15"/>
                  <w:u w:val="single"/>
                </w:rPr>
                <w:t>BP</w:t>
              </w:r>
            </w:hyperlink>
            <w:r w:rsidRPr="00164933">
              <w:rPr>
                <w:rFonts w:ascii="Arial" w:eastAsia="Times New Roman" w:hAnsi="Arial" w:cs="Arial"/>
                <w:color w:val="000000"/>
                <w:sz w:val="15"/>
                <w:szCs w:val="15"/>
              </w:rPr>
              <w:t xml:space="preserve"> 13.55, </w:t>
            </w:r>
            <w:r w:rsidRPr="00164933">
              <w:rPr>
                <w:rFonts w:ascii="Arial" w:eastAsia="Times New Roman" w:hAnsi="Arial" w:cs="Arial"/>
                <w:i/>
                <w:iCs/>
                <w:color w:val="000000"/>
                <w:sz w:val="15"/>
                <w:szCs w:val="15"/>
              </w:rPr>
              <w:t>Implementation Completion Report</w:t>
            </w:r>
            <w:r w:rsidRPr="00164933">
              <w:rPr>
                <w:rFonts w:ascii="Arial" w:eastAsia="Times New Roman" w:hAnsi="Arial" w:cs="Arial"/>
                <w:color w:val="000000"/>
                <w:sz w:val="15"/>
                <w:szCs w:val="15"/>
              </w:rPr>
              <w:t>.</w:t>
            </w:r>
          </w:p>
          <w:p w:rsidR="00164933" w:rsidRPr="00164933" w:rsidRDefault="00164933" w:rsidP="00164933">
            <w:pPr>
              <w:numPr>
                <w:ilvl w:val="0"/>
                <w:numId w:val="1"/>
              </w:numPr>
              <w:spacing w:before="100" w:beforeAutospacing="1" w:after="100" w:afterAutospacing="1" w:line="240" w:lineRule="auto"/>
              <w:rPr>
                <w:rFonts w:ascii="Arial" w:eastAsia="Times New Roman" w:hAnsi="Arial" w:cs="Arial"/>
                <w:color w:val="000000"/>
                <w:sz w:val="18"/>
                <w:szCs w:val="18"/>
              </w:rPr>
            </w:pPr>
            <w:r w:rsidRPr="00164933">
              <w:rPr>
                <w:rFonts w:ascii="Arial" w:eastAsia="Times New Roman" w:hAnsi="Arial" w:cs="Arial"/>
                <w:color w:val="000000"/>
                <w:sz w:val="15"/>
                <w:szCs w:val="15"/>
              </w:rPr>
              <w:footnoteReference w:customMarkFollows="1" w:id="23"/>
              <w:t>The ICR's assessment of the extent to which resettlement objectives were realized is normally based on a socioeconomic survey of affected people conducted at the time of project completion, and takes into account the extent of displacement, and the impact of the project on the livelihoods of displaced persons and any host communities.</w:t>
            </w:r>
          </w:p>
        </w:tc>
      </w:tr>
    </w:tbl>
    <w:p w:rsidR="00A152DF" w:rsidRDefault="00A152DF"/>
    <w:sectPr w:rsidR="00A152DF" w:rsidSect="00A152D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C4B" w:rsidRDefault="004A4C4B" w:rsidP="00164933">
      <w:pPr>
        <w:spacing w:after="0" w:line="240" w:lineRule="auto"/>
      </w:pPr>
      <w:r>
        <w:separator/>
      </w:r>
    </w:p>
  </w:endnote>
  <w:endnote w:type="continuationSeparator" w:id="0">
    <w:p w:rsidR="004A4C4B" w:rsidRDefault="004A4C4B" w:rsidP="001649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C4B" w:rsidRDefault="004A4C4B" w:rsidP="00164933">
      <w:pPr>
        <w:spacing w:after="0" w:line="240" w:lineRule="auto"/>
      </w:pPr>
      <w:r>
        <w:separator/>
      </w:r>
    </w:p>
  </w:footnote>
  <w:footnote w:type="continuationSeparator" w:id="0">
    <w:p w:rsidR="004A4C4B" w:rsidRDefault="004A4C4B" w:rsidP="00164933">
      <w:pPr>
        <w:spacing w:after="0" w:line="240" w:lineRule="auto"/>
      </w:pPr>
      <w:r>
        <w:continuationSeparator/>
      </w:r>
    </w:p>
  </w:footnote>
  <w:footnote w:id="1">
    <w:p w:rsidR="00164933" w:rsidRDefault="00164933" w:rsidP="00164933"/>
  </w:footnote>
  <w:footnote w:id="2">
    <w:p w:rsidR="00164933" w:rsidRDefault="00164933" w:rsidP="00164933"/>
  </w:footnote>
  <w:footnote w:id="3">
    <w:p w:rsidR="00164933" w:rsidRDefault="00164933" w:rsidP="00164933"/>
  </w:footnote>
  <w:footnote w:id="4">
    <w:p w:rsidR="00164933" w:rsidRDefault="00164933" w:rsidP="00164933"/>
  </w:footnote>
  <w:footnote w:id="5">
    <w:p w:rsidR="00164933" w:rsidRDefault="00164933" w:rsidP="00164933"/>
  </w:footnote>
  <w:footnote w:id="6">
    <w:p w:rsidR="00164933" w:rsidRDefault="00164933" w:rsidP="00164933"/>
  </w:footnote>
  <w:footnote w:id="7">
    <w:p w:rsidR="00164933" w:rsidRDefault="00164933" w:rsidP="00164933"/>
  </w:footnote>
  <w:footnote w:id="8">
    <w:p w:rsidR="00164933" w:rsidRDefault="00164933" w:rsidP="00164933"/>
  </w:footnote>
  <w:footnote w:id="9">
    <w:p w:rsidR="00164933" w:rsidRDefault="00164933" w:rsidP="00164933"/>
  </w:footnote>
  <w:footnote w:id="10">
    <w:p w:rsidR="00164933" w:rsidRDefault="00164933" w:rsidP="00164933"/>
  </w:footnote>
  <w:footnote w:id="11">
    <w:p w:rsidR="00164933" w:rsidRDefault="00164933" w:rsidP="00164933"/>
  </w:footnote>
  <w:footnote w:id="12">
    <w:p w:rsidR="00164933" w:rsidRDefault="00164933" w:rsidP="00164933"/>
  </w:footnote>
  <w:footnote w:id="13">
    <w:p w:rsidR="00164933" w:rsidRDefault="00164933" w:rsidP="00164933"/>
  </w:footnote>
  <w:footnote w:id="14">
    <w:p w:rsidR="00164933" w:rsidRDefault="00164933" w:rsidP="00164933"/>
  </w:footnote>
  <w:footnote w:id="15">
    <w:p w:rsidR="00164933" w:rsidRDefault="00164933" w:rsidP="00164933"/>
  </w:footnote>
  <w:footnote w:id="16">
    <w:p w:rsidR="00164933" w:rsidRDefault="00164933" w:rsidP="00164933"/>
  </w:footnote>
  <w:footnote w:id="17">
    <w:p w:rsidR="00164933" w:rsidRDefault="00164933" w:rsidP="00164933"/>
  </w:footnote>
  <w:footnote w:id="18">
    <w:p w:rsidR="00164933" w:rsidRDefault="00164933" w:rsidP="00164933"/>
  </w:footnote>
  <w:footnote w:id="19">
    <w:p w:rsidR="00164933" w:rsidRDefault="00164933" w:rsidP="00164933"/>
  </w:footnote>
  <w:footnote w:id="20">
    <w:p w:rsidR="00164933" w:rsidRDefault="00164933" w:rsidP="00164933"/>
  </w:footnote>
  <w:footnote w:id="21">
    <w:p w:rsidR="00164933" w:rsidRDefault="00164933" w:rsidP="00164933"/>
  </w:footnote>
  <w:footnote w:id="22">
    <w:p w:rsidR="00164933" w:rsidRDefault="00164933" w:rsidP="00164933"/>
  </w:footnote>
  <w:footnote w:id="23">
    <w:p w:rsidR="00164933" w:rsidRDefault="00164933" w:rsidP="00164933"/>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65F"/>
    <w:multiLevelType w:val="multilevel"/>
    <w:tmpl w:val="A09E7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1"/>
    <w:footnote w:id="0"/>
  </w:footnotePr>
  <w:endnotePr>
    <w:endnote w:id="-1"/>
    <w:endnote w:id="0"/>
  </w:endnotePr>
  <w:compat>
    <w:useFELayout/>
  </w:compat>
  <w:rsids>
    <w:rsidRoot w:val="00164933"/>
    <w:rsid w:val="0000481F"/>
    <w:rsid w:val="00066C64"/>
    <w:rsid w:val="000951A3"/>
    <w:rsid w:val="000A1B5D"/>
    <w:rsid w:val="000B28D3"/>
    <w:rsid w:val="000E78E4"/>
    <w:rsid w:val="00164933"/>
    <w:rsid w:val="001705F7"/>
    <w:rsid w:val="001A27D4"/>
    <w:rsid w:val="00203D82"/>
    <w:rsid w:val="00215369"/>
    <w:rsid w:val="0022750D"/>
    <w:rsid w:val="00231C36"/>
    <w:rsid w:val="002B56CC"/>
    <w:rsid w:val="0036525D"/>
    <w:rsid w:val="004110A3"/>
    <w:rsid w:val="00413D4C"/>
    <w:rsid w:val="00417FE7"/>
    <w:rsid w:val="00434238"/>
    <w:rsid w:val="00434815"/>
    <w:rsid w:val="004A4C4B"/>
    <w:rsid w:val="004F177D"/>
    <w:rsid w:val="005018F4"/>
    <w:rsid w:val="0055761A"/>
    <w:rsid w:val="005802FA"/>
    <w:rsid w:val="00597B5C"/>
    <w:rsid w:val="005D79B3"/>
    <w:rsid w:val="005F4262"/>
    <w:rsid w:val="00654599"/>
    <w:rsid w:val="006566F2"/>
    <w:rsid w:val="00705BA4"/>
    <w:rsid w:val="00735CF4"/>
    <w:rsid w:val="00742C8B"/>
    <w:rsid w:val="00787875"/>
    <w:rsid w:val="00864E28"/>
    <w:rsid w:val="00876FA7"/>
    <w:rsid w:val="008837E2"/>
    <w:rsid w:val="0089227B"/>
    <w:rsid w:val="008C096C"/>
    <w:rsid w:val="00910159"/>
    <w:rsid w:val="00965A5F"/>
    <w:rsid w:val="009A08E2"/>
    <w:rsid w:val="009B0C03"/>
    <w:rsid w:val="009C4249"/>
    <w:rsid w:val="009E11B6"/>
    <w:rsid w:val="009E2F39"/>
    <w:rsid w:val="00A152DF"/>
    <w:rsid w:val="00A20D16"/>
    <w:rsid w:val="00A9357E"/>
    <w:rsid w:val="00AB06A7"/>
    <w:rsid w:val="00B5226B"/>
    <w:rsid w:val="00B721BB"/>
    <w:rsid w:val="00B85078"/>
    <w:rsid w:val="00BA47A4"/>
    <w:rsid w:val="00BD4797"/>
    <w:rsid w:val="00BE77A9"/>
    <w:rsid w:val="00C006E6"/>
    <w:rsid w:val="00D16269"/>
    <w:rsid w:val="00D31389"/>
    <w:rsid w:val="00E26B27"/>
    <w:rsid w:val="00E858A8"/>
    <w:rsid w:val="00F03232"/>
    <w:rsid w:val="00F52848"/>
    <w:rsid w:val="00F81275"/>
    <w:rsid w:val="00FD085B"/>
    <w:rsid w:val="00FD68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2DF"/>
  </w:style>
  <w:style w:type="paragraph" w:styleId="Heading1">
    <w:name w:val="heading 1"/>
    <w:basedOn w:val="Normal"/>
    <w:link w:val="Heading1Char"/>
    <w:uiPriority w:val="9"/>
    <w:qFormat/>
    <w:rsid w:val="00164933"/>
    <w:pPr>
      <w:spacing w:after="0" w:line="240" w:lineRule="auto"/>
      <w:outlineLvl w:val="0"/>
    </w:pPr>
    <w:rPr>
      <w:rFonts w:ascii="Arial" w:eastAsia="Times New Roman" w:hAnsi="Arial" w:cs="Arial"/>
      <w:b/>
      <w:bCs/>
      <w:color w:val="000000"/>
      <w:kern w:val="36"/>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4933"/>
    <w:rPr>
      <w:rFonts w:ascii="Arial" w:eastAsia="Times New Roman" w:hAnsi="Arial" w:cs="Arial"/>
      <w:b/>
      <w:bCs/>
      <w:color w:val="000000"/>
      <w:kern w:val="36"/>
      <w:sz w:val="27"/>
      <w:szCs w:val="27"/>
    </w:rPr>
  </w:style>
  <w:style w:type="character" w:styleId="Strong">
    <w:name w:val="Strong"/>
    <w:basedOn w:val="DefaultParagraphFont"/>
    <w:uiPriority w:val="22"/>
    <w:qFormat/>
    <w:rsid w:val="00164933"/>
    <w:rPr>
      <w:b/>
      <w:bCs/>
    </w:rPr>
  </w:style>
  <w:style w:type="paragraph" w:styleId="NormalWeb">
    <w:name w:val="Normal (Web)"/>
    <w:basedOn w:val="Normal"/>
    <w:uiPriority w:val="99"/>
    <w:unhideWhenUsed/>
    <w:rsid w:val="0016493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bid7">
    <w:name w:val="pabid7"/>
    <w:basedOn w:val="Normal"/>
    <w:rsid w:val="0016493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164933"/>
    <w:rPr>
      <w:i/>
      <w:iCs/>
    </w:rPr>
  </w:style>
  <w:style w:type="paragraph" w:styleId="BalloonText">
    <w:name w:val="Balloon Text"/>
    <w:basedOn w:val="Normal"/>
    <w:link w:val="BalloonTextChar"/>
    <w:uiPriority w:val="99"/>
    <w:semiHidden/>
    <w:unhideWhenUsed/>
    <w:rsid w:val="001649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9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1248214">
      <w:bodyDiv w:val="1"/>
      <w:marLeft w:val="0"/>
      <w:marRight w:val="0"/>
      <w:marTop w:val="0"/>
      <w:marBottom w:val="0"/>
      <w:divBdr>
        <w:top w:val="none" w:sz="0" w:space="0" w:color="auto"/>
        <w:left w:val="none" w:sz="0" w:space="0" w:color="auto"/>
        <w:bottom w:val="none" w:sz="0" w:space="0" w:color="auto"/>
        <w:right w:val="none" w:sz="0" w:space="0" w:color="auto"/>
      </w:divBdr>
      <w:divsChild>
        <w:div w:id="1643734281">
          <w:marLeft w:val="0"/>
          <w:marRight w:val="0"/>
          <w:marTop w:val="0"/>
          <w:marBottom w:val="0"/>
          <w:divBdr>
            <w:top w:val="none" w:sz="0" w:space="0" w:color="auto"/>
            <w:left w:val="none" w:sz="0" w:space="0" w:color="auto"/>
            <w:bottom w:val="none" w:sz="0" w:space="0" w:color="auto"/>
            <w:right w:val="none" w:sz="0" w:space="0" w:color="auto"/>
          </w:divBdr>
        </w:div>
        <w:div w:id="786050212">
          <w:blockQuote w:val="1"/>
          <w:marLeft w:val="720"/>
          <w:marRight w:val="0"/>
          <w:marTop w:val="100"/>
          <w:marBottom w:val="100"/>
          <w:divBdr>
            <w:top w:val="none" w:sz="0" w:space="0" w:color="auto"/>
            <w:left w:val="none" w:sz="0" w:space="0" w:color="auto"/>
            <w:bottom w:val="none" w:sz="0" w:space="0" w:color="auto"/>
            <w:right w:val="none" w:sz="0" w:space="0" w:color="auto"/>
          </w:divBdr>
        </w:div>
        <w:div w:id="397939154">
          <w:blockQuote w:val="1"/>
          <w:marLeft w:val="720"/>
          <w:marRight w:val="0"/>
          <w:marTop w:val="100"/>
          <w:marBottom w:val="100"/>
          <w:divBdr>
            <w:top w:val="none" w:sz="0" w:space="0" w:color="auto"/>
            <w:left w:val="none" w:sz="0" w:space="0" w:color="auto"/>
            <w:bottom w:val="none" w:sz="0" w:space="0" w:color="auto"/>
            <w:right w:val="none" w:sz="0" w:space="0" w:color="auto"/>
          </w:divBdr>
        </w:div>
        <w:div w:id="1082407239">
          <w:blockQuote w:val="1"/>
          <w:marLeft w:val="720"/>
          <w:marRight w:val="0"/>
          <w:marTop w:val="100"/>
          <w:marBottom w:val="100"/>
          <w:divBdr>
            <w:top w:val="none" w:sz="0" w:space="0" w:color="auto"/>
            <w:left w:val="none" w:sz="0" w:space="0" w:color="auto"/>
            <w:bottom w:val="none" w:sz="0" w:space="0" w:color="auto"/>
            <w:right w:val="none" w:sz="0" w:space="0" w:color="auto"/>
          </w:divBdr>
        </w:div>
        <w:div w:id="1905488185">
          <w:marLeft w:val="0"/>
          <w:marRight w:val="0"/>
          <w:marTop w:val="0"/>
          <w:marBottom w:val="0"/>
          <w:divBdr>
            <w:top w:val="none" w:sz="0" w:space="0" w:color="auto"/>
            <w:left w:val="none" w:sz="0" w:space="0" w:color="auto"/>
            <w:bottom w:val="none" w:sz="0" w:space="0" w:color="auto"/>
            <w:right w:val="none" w:sz="0" w:space="0" w:color="auto"/>
          </w:divBdr>
        </w:div>
        <w:div w:id="984819778">
          <w:marLeft w:val="0"/>
          <w:marRight w:val="0"/>
          <w:marTop w:val="0"/>
          <w:marBottom w:val="0"/>
          <w:divBdr>
            <w:top w:val="none" w:sz="0" w:space="0" w:color="auto"/>
            <w:left w:val="none" w:sz="0" w:space="0" w:color="auto"/>
            <w:bottom w:val="none" w:sz="0" w:space="0" w:color="auto"/>
            <w:right w:val="none" w:sz="0" w:space="0" w:color="auto"/>
          </w:divBdr>
        </w:div>
        <w:div w:id="1851524609">
          <w:marLeft w:val="0"/>
          <w:marRight w:val="0"/>
          <w:marTop w:val="0"/>
          <w:marBottom w:val="0"/>
          <w:divBdr>
            <w:top w:val="none" w:sz="0" w:space="0" w:color="auto"/>
            <w:left w:val="none" w:sz="0" w:space="0" w:color="auto"/>
            <w:bottom w:val="none" w:sz="0" w:space="0" w:color="auto"/>
            <w:right w:val="none" w:sz="0" w:space="0" w:color="auto"/>
          </w:divBdr>
        </w:div>
        <w:div w:id="1830436585">
          <w:marLeft w:val="0"/>
          <w:marRight w:val="0"/>
          <w:marTop w:val="0"/>
          <w:marBottom w:val="0"/>
          <w:divBdr>
            <w:top w:val="none" w:sz="0" w:space="0" w:color="auto"/>
            <w:left w:val="none" w:sz="0" w:space="0" w:color="auto"/>
            <w:bottom w:val="none" w:sz="0" w:space="0" w:color="auto"/>
            <w:right w:val="none" w:sz="0" w:space="0" w:color="auto"/>
          </w:divBdr>
        </w:div>
        <w:div w:id="176122358">
          <w:marLeft w:val="0"/>
          <w:marRight w:val="0"/>
          <w:marTop w:val="0"/>
          <w:marBottom w:val="0"/>
          <w:divBdr>
            <w:top w:val="none" w:sz="0" w:space="0" w:color="auto"/>
            <w:left w:val="none" w:sz="0" w:space="0" w:color="auto"/>
            <w:bottom w:val="none" w:sz="0" w:space="0" w:color="auto"/>
            <w:right w:val="none" w:sz="0" w:space="0" w:color="auto"/>
          </w:divBdr>
        </w:div>
        <w:div w:id="389890154">
          <w:marLeft w:val="0"/>
          <w:marRight w:val="0"/>
          <w:marTop w:val="0"/>
          <w:marBottom w:val="0"/>
          <w:divBdr>
            <w:top w:val="none" w:sz="0" w:space="0" w:color="auto"/>
            <w:left w:val="none" w:sz="0" w:space="0" w:color="auto"/>
            <w:bottom w:val="none" w:sz="0" w:space="0" w:color="auto"/>
            <w:right w:val="none" w:sz="0" w:space="0" w:color="auto"/>
          </w:divBdr>
        </w:div>
        <w:div w:id="1141271895">
          <w:marLeft w:val="0"/>
          <w:marRight w:val="0"/>
          <w:marTop w:val="0"/>
          <w:marBottom w:val="0"/>
          <w:divBdr>
            <w:top w:val="none" w:sz="0" w:space="0" w:color="auto"/>
            <w:left w:val="none" w:sz="0" w:space="0" w:color="auto"/>
            <w:bottom w:val="none" w:sz="0" w:space="0" w:color="auto"/>
            <w:right w:val="none" w:sz="0" w:space="0" w:color="auto"/>
          </w:divBdr>
        </w:div>
        <w:div w:id="1076980119">
          <w:marLeft w:val="0"/>
          <w:marRight w:val="0"/>
          <w:marTop w:val="0"/>
          <w:marBottom w:val="0"/>
          <w:divBdr>
            <w:top w:val="none" w:sz="0" w:space="0" w:color="auto"/>
            <w:left w:val="none" w:sz="0" w:space="0" w:color="auto"/>
            <w:bottom w:val="none" w:sz="0" w:space="0" w:color="auto"/>
            <w:right w:val="none" w:sz="0" w:space="0" w:color="auto"/>
          </w:divBdr>
        </w:div>
        <w:div w:id="1773434524">
          <w:marLeft w:val="0"/>
          <w:marRight w:val="0"/>
          <w:marTop w:val="0"/>
          <w:marBottom w:val="0"/>
          <w:divBdr>
            <w:top w:val="none" w:sz="0" w:space="0" w:color="auto"/>
            <w:left w:val="none" w:sz="0" w:space="0" w:color="auto"/>
            <w:bottom w:val="none" w:sz="0" w:space="0" w:color="auto"/>
            <w:right w:val="none" w:sz="0" w:space="0" w:color="auto"/>
          </w:divBdr>
        </w:div>
        <w:div w:id="1694723806">
          <w:marLeft w:val="0"/>
          <w:marRight w:val="0"/>
          <w:marTop w:val="0"/>
          <w:marBottom w:val="0"/>
          <w:divBdr>
            <w:top w:val="none" w:sz="0" w:space="0" w:color="auto"/>
            <w:left w:val="none" w:sz="0" w:space="0" w:color="auto"/>
            <w:bottom w:val="none" w:sz="0" w:space="0" w:color="auto"/>
            <w:right w:val="none" w:sz="0" w:space="0" w:color="auto"/>
          </w:divBdr>
        </w:div>
        <w:div w:id="1736782273">
          <w:marLeft w:val="0"/>
          <w:marRight w:val="0"/>
          <w:marTop w:val="0"/>
          <w:marBottom w:val="0"/>
          <w:divBdr>
            <w:top w:val="none" w:sz="0" w:space="0" w:color="auto"/>
            <w:left w:val="none" w:sz="0" w:space="0" w:color="auto"/>
            <w:bottom w:val="none" w:sz="0" w:space="0" w:color="auto"/>
            <w:right w:val="none" w:sz="0" w:space="0" w:color="auto"/>
          </w:divBdr>
        </w:div>
        <w:div w:id="10812186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worldbank.org/WBSITE/EXTERNAL/PROJECTS/EXTPOLICIES/EXTOPMANUAL/0,,contentMDK:20064610~menuPK:64701637~pagePK:64709096~piPK:64709108~theSitePK:502184~isCURL:Y,00.html" TargetMode="External"/><Relationship Id="rId13" Type="http://schemas.openxmlformats.org/officeDocument/2006/relationships/hyperlink" Target="http://web.worldbank.org/WBSITE/EXTERNAL/PROJECTS/EXTPOLICIES/EXTOPMANUAL/0,,contentMDK:20064610~menuPK:64701637~pagePK:64709096~piPK:64709108~theSitePK:502184~isCURL:Y,00.html" TargetMode="External"/><Relationship Id="rId18" Type="http://schemas.openxmlformats.org/officeDocument/2006/relationships/hyperlink" Target="http://web.worldbank.org/WBSITE/EXTERNAL/PROJECTS/EXTPOLICIES/EXTOPMANUAL/0,,contentMDK:20064610~menuPK:64701637~pagePK:64709096~piPK:64709108~theSitePK:502184~isCURL:Y,00.html" TargetMode="External"/><Relationship Id="rId26" Type="http://schemas.openxmlformats.org/officeDocument/2006/relationships/hyperlink" Target="http://web.worldbank.org/WBSITE/EXTERNAL/PROJECTS/EXTPOLICIES/EXTOPMANUAL/0,,contentMDK:20064744~menuPK:64701637~pagePK:64709096~piPK:64709108~theSitePK:502184~isCURL:Y,00.html" TargetMode="External"/><Relationship Id="rId3" Type="http://schemas.openxmlformats.org/officeDocument/2006/relationships/settings" Target="settings.xml"/><Relationship Id="rId21" Type="http://schemas.openxmlformats.org/officeDocument/2006/relationships/hyperlink" Target="http://web.worldbank.org/WBSITE/EXTERNAL/PROJECTS/EXTPOLICIES/EXTOPMANUAL/0,,contentMDK:20064610~menuPK:64701637~pagePK:64709096~piPK:64709108~theSitePK:502184~isCURL:Y,00.html" TargetMode="External"/><Relationship Id="rId7" Type="http://schemas.openxmlformats.org/officeDocument/2006/relationships/image" Target="media/image1.gif"/><Relationship Id="rId12" Type="http://schemas.openxmlformats.org/officeDocument/2006/relationships/hyperlink" Target="http://web.worldbank.org/WBSITE/EXTERNAL/PROJECTS/EXTPOLICIES/EXTOPMANUAL/0,,contentMDK:20064610~menuPK:64701637~pagePK:64709096~piPK:64709108~theSitePK:502184~isCURL:Y,00.html" TargetMode="External"/><Relationship Id="rId17" Type="http://schemas.openxmlformats.org/officeDocument/2006/relationships/hyperlink" Target="http://web.worldbank.org/WBSITE/EXTERNAL/PROJECTS/EXTPOLICIES/EXTOPMANUAL/0,,contentMDK:20064610~menuPK:64701637~pagePK:64709096~piPK:64709108~theSitePK:502184~isCURL:Y,00.html" TargetMode="External"/><Relationship Id="rId25" Type="http://schemas.openxmlformats.org/officeDocument/2006/relationships/hyperlink" Target="http://web.worldbank.org/WBSITE/EXTERNAL/PROJECTS/EXTPOLICIES/EXTOPMANUAL/0,,contentMDK:20064599~menuPK:64701637~pagePK:64709096~piPK:64709108~theSitePK:502184~isCURL:Y,00.html" TargetMode="External"/><Relationship Id="rId2" Type="http://schemas.openxmlformats.org/officeDocument/2006/relationships/styles" Target="styles.xml"/><Relationship Id="rId16" Type="http://schemas.openxmlformats.org/officeDocument/2006/relationships/hyperlink" Target="http://web.worldbank.org/WBSITE/EXTERNAL/PROJECTS/EXTPOLICIES/EXTOPMANUAL/0,,contentMDK:20064610~menuPK:64701637~pagePK:64709096~piPK:64709108~theSitePK:502184~isCURL:Y,00.html" TargetMode="External"/><Relationship Id="rId20" Type="http://schemas.openxmlformats.org/officeDocument/2006/relationships/hyperlink" Target="http://web.worldbank.org/WBSITE/EXTERNAL/PROJECTS/EXTPOLICIES/EXTOPMANUAL/0,,contentMDK:20064610~menuPK:64701637~pagePK:64709096~piPK:64709108~theSitePK:502184~isCURL:Y,00.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b.worldbank.org/WBSITE/EXTERNAL/PROJECTS/EXTPOLICIES/EXTOPMANUAL/0,,contentMDK:20064610~menuPK:64701637~pagePK:64709096~piPK:64709108~theSitePK:502184~isCURL:Y,00.html" TargetMode="External"/><Relationship Id="rId24" Type="http://schemas.openxmlformats.org/officeDocument/2006/relationships/hyperlink" Target="http://web.worldbank.org/WBSITE/EXTERNAL/PROJECTS/EXTPOLICIES/EXTOPMANUAL/0,,contentMDK:20064610~menuPK:64701637~pagePK:64709096~piPK:64709108~theSitePK:502184~isCURL:Y,00.html" TargetMode="External"/><Relationship Id="rId5" Type="http://schemas.openxmlformats.org/officeDocument/2006/relationships/footnotes" Target="footnotes.xml"/><Relationship Id="rId15" Type="http://schemas.openxmlformats.org/officeDocument/2006/relationships/hyperlink" Target="http://web.worldbank.org/WBSITE/EXTERNAL/PROJECTS/EXTPOLICIES/EXTOPMANUAL/0,,contentMDK:20064610~menuPK:64701637~pagePK:64709096~piPK:64709108~theSitePK:502184~isCURL:Y,00.html" TargetMode="External"/><Relationship Id="rId23" Type="http://schemas.openxmlformats.org/officeDocument/2006/relationships/hyperlink" Target="http://go.worldbank.org/TRCDVYJ440" TargetMode="External"/><Relationship Id="rId28" Type="http://schemas.openxmlformats.org/officeDocument/2006/relationships/hyperlink" Target="http://web.worldbank.org/WBSITE/EXTERNAL/PROJECTS/EXTPOLICIES/EXTOPMANUAL/0,,contentMDK:20064620~menuPK:64701637~pagePK:64709096~piPK:64709108~theSitePK:502184~isCURL:Y,00.html" TargetMode="External"/><Relationship Id="rId10" Type="http://schemas.openxmlformats.org/officeDocument/2006/relationships/hyperlink" Target="http://web.worldbank.org/WBSITE/EXTERNAL/PROJECTS/EXTPOLICIES/EXTOPMANUAL/0,,contentMDK:20064610~menuPK:64701637~pagePK:64709096~piPK:64709108~theSitePK:502184~isCURL:Y,00.html" TargetMode="External"/><Relationship Id="rId19" Type="http://schemas.openxmlformats.org/officeDocument/2006/relationships/hyperlink" Target="http://web.worldbank.org/WBSITE/EXTERNAL/PROJECTS/EXTPOLICIES/EXTOPMANUAL/0,,contentMDK:20064610~menuPK:64701637~pagePK:64709096~piPK:64709108~theSitePK:502184~isCURL:Y,00.html" TargetMode="External"/><Relationship Id="rId4" Type="http://schemas.openxmlformats.org/officeDocument/2006/relationships/webSettings" Target="webSettings.xml"/><Relationship Id="rId9" Type="http://schemas.openxmlformats.org/officeDocument/2006/relationships/hyperlink" Target="http://web.worldbank.org/WBSITE/EXTERNAL/PROJECTS/EXTPOLICIES/EXTOPMANUAL/0,,contentMDK:20064610~menuPK:64701637~pagePK:64709096~piPK:64709108~theSitePK:502184~isCURL:Y,00.html" TargetMode="External"/><Relationship Id="rId14" Type="http://schemas.openxmlformats.org/officeDocument/2006/relationships/hyperlink" Target="http://web.worldbank.org/WBSITE/EXTERNAL/PROJECTS/EXTPOLICIES/EXTOPMANUAL/0,,contentMDK:20064610~menuPK:64701637~pagePK:64709096~piPK:64709108~theSitePK:502184~isCURL:Y,00.html" TargetMode="External"/><Relationship Id="rId22" Type="http://schemas.openxmlformats.org/officeDocument/2006/relationships/hyperlink" Target="http://web.worldbank.org/WBSITE/EXTERNAL/PROJECTS/EXTPOLICIES/EXTOPMANUAL/0,,contentMDK:20064610~menuPK:64701637~pagePK:64709096~piPK:64709108~theSitePK:502184~isCURL:Y,00.html" TargetMode="External"/><Relationship Id="rId27" Type="http://schemas.openxmlformats.org/officeDocument/2006/relationships/hyperlink" Target="http://web.worldbank.org/WBSITE/EXTERNAL/PROJECTS/EXTPOLICIES/EXTOPMANUAL/0,,contentMDK:20064672~menuPK:64701637~pagePK:64709096~piPK:64709108~theSitePK:502184~isCURL:Y,00.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2881</Words>
  <Characters>16423</Characters>
  <Application>Microsoft Office Word</Application>
  <DocSecurity>0</DocSecurity>
  <Lines>136</Lines>
  <Paragraphs>38</Paragraphs>
  <ScaleCrop>false</ScaleCrop>
  <Company>The World Bank Group</Company>
  <LinksUpToDate>false</LinksUpToDate>
  <CharactersWithSpaces>19266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wb338304</dc:creator>
  <cp:lastModifiedBy>wb338304</cp:lastModifiedBy>
  <cp:revision>1</cp:revision>
  <dcterms:created xsi:type="dcterms:W3CDTF">2010-11-04T06:58:00Z</dcterms:created>
  <dcterms:modified xsi:type="dcterms:W3CDTF">2010-11-04T06:59:00Z</dcterms:modified>
</cp:coreProperties>
</file>